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DE" w:rsidRPr="00F212DE" w:rsidRDefault="00F212DE" w:rsidP="00F212DE">
      <w:pPr>
        <w:pStyle w:val="Default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F212DE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輔仁大學生命科學系學位論文與專業領域審查機制</w:t>
      </w:r>
    </w:p>
    <w:p w:rsidR="00F212DE" w:rsidRPr="00F212DE" w:rsidRDefault="00F212DE" w:rsidP="00F212DE">
      <w:pPr>
        <w:pStyle w:val="Default"/>
        <w:jc w:val="right"/>
        <w:rPr>
          <w:rFonts w:ascii="標楷體" w:eastAsia="標楷體" w:hAnsi="標楷體"/>
          <w:sz w:val="20"/>
          <w:szCs w:val="20"/>
        </w:rPr>
      </w:pPr>
      <w:r w:rsidRPr="00F212DE">
        <w:rPr>
          <w:rFonts w:ascii="標楷體" w:eastAsia="標楷體" w:hAnsi="標楷體" w:cs="Times New Roman"/>
          <w:sz w:val="20"/>
          <w:szCs w:val="20"/>
        </w:rPr>
        <w:t>109.4.21</w:t>
      </w:r>
      <w:r w:rsidRPr="00F212DE">
        <w:rPr>
          <w:rFonts w:ascii="標楷體" w:eastAsia="標楷體" w:hAnsi="標楷體" w:hint="eastAsia"/>
          <w:sz w:val="20"/>
          <w:szCs w:val="20"/>
        </w:rPr>
        <w:t>生命科學系</w:t>
      </w:r>
      <w:proofErr w:type="gramStart"/>
      <w:r w:rsidRPr="00F212DE">
        <w:rPr>
          <w:rFonts w:ascii="標楷體" w:eastAsia="標楷體" w:hAnsi="標楷體" w:hint="eastAsia"/>
          <w:sz w:val="20"/>
          <w:szCs w:val="20"/>
        </w:rPr>
        <w:t>系務</w:t>
      </w:r>
      <w:proofErr w:type="gramEnd"/>
      <w:r w:rsidRPr="00F212DE">
        <w:rPr>
          <w:rFonts w:ascii="標楷體" w:eastAsia="標楷體" w:hAnsi="標楷體" w:hint="eastAsia"/>
          <w:sz w:val="20"/>
          <w:szCs w:val="20"/>
        </w:rPr>
        <w:t>會議修訂</w:t>
      </w:r>
    </w:p>
    <w:p w:rsidR="00F212DE" w:rsidRPr="00F212DE" w:rsidRDefault="00F212DE" w:rsidP="00F212DE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F212DE">
        <w:rPr>
          <w:rFonts w:ascii="標楷體" w:eastAsia="標楷體" w:hAnsi="標楷體" w:hint="eastAsia"/>
          <w:b/>
          <w:sz w:val="28"/>
          <w:szCs w:val="28"/>
        </w:rPr>
        <w:t>檢視學位論文與專業領域相符</w:t>
      </w:r>
    </w:p>
    <w:p w:rsidR="00F212DE" w:rsidRPr="00F212DE" w:rsidRDefault="00F212DE" w:rsidP="00F212DE">
      <w:pPr>
        <w:pStyle w:val="Default"/>
        <w:spacing w:after="82" w:line="480" w:lineRule="exact"/>
        <w:rPr>
          <w:rFonts w:ascii="標楷體" w:eastAsia="標楷體" w:hAnsi="標楷體"/>
          <w:sz w:val="28"/>
          <w:szCs w:val="28"/>
        </w:rPr>
      </w:pPr>
      <w:r w:rsidRPr="00F212DE">
        <w:rPr>
          <w:rFonts w:ascii="標楷體" w:eastAsia="標楷體" w:hAnsi="標楷體" w:cs="Times New Roman"/>
          <w:sz w:val="28"/>
          <w:szCs w:val="28"/>
        </w:rPr>
        <w:t xml:space="preserve">1. </w:t>
      </w:r>
      <w:r w:rsidRPr="00F212DE">
        <w:rPr>
          <w:rFonts w:ascii="標楷體" w:eastAsia="標楷體" w:hAnsi="標楷體" w:hint="eastAsia"/>
          <w:sz w:val="28"/>
          <w:szCs w:val="28"/>
        </w:rPr>
        <w:t>口試前一個月需提供論文題目及摘要</w:t>
      </w:r>
      <w:proofErr w:type="gramStart"/>
      <w:r w:rsidRPr="00F212DE">
        <w:rPr>
          <w:rFonts w:ascii="標楷體" w:eastAsia="標楷體" w:hAnsi="標楷體" w:hint="eastAsia"/>
          <w:sz w:val="28"/>
          <w:szCs w:val="28"/>
        </w:rPr>
        <w:t>進系所務</w:t>
      </w:r>
      <w:proofErr w:type="gramEnd"/>
      <w:r w:rsidRPr="00F212DE">
        <w:rPr>
          <w:rFonts w:ascii="標楷體" w:eastAsia="標楷體" w:hAnsi="標楷體" w:hint="eastAsia"/>
          <w:sz w:val="28"/>
          <w:szCs w:val="28"/>
        </w:rPr>
        <w:t>會議審查學位論文與專業領域是否相符，符合者使可提出口試申請單；不</w:t>
      </w:r>
      <w:proofErr w:type="gramStart"/>
      <w:r w:rsidRPr="00F212DE">
        <w:rPr>
          <w:rFonts w:ascii="標楷體" w:eastAsia="標楷體" w:hAnsi="標楷體" w:hint="eastAsia"/>
          <w:sz w:val="28"/>
          <w:szCs w:val="28"/>
        </w:rPr>
        <w:t>符合者半年後</w:t>
      </w:r>
      <w:proofErr w:type="gramEnd"/>
      <w:r w:rsidRPr="00F212DE">
        <w:rPr>
          <w:rFonts w:ascii="標楷體" w:eastAsia="標楷體" w:hAnsi="標楷體" w:hint="eastAsia"/>
          <w:sz w:val="28"/>
          <w:szCs w:val="28"/>
        </w:rPr>
        <w:t>始可重新提出口試申請。</w:t>
      </w:r>
    </w:p>
    <w:p w:rsidR="00F212DE" w:rsidRPr="00F212DE" w:rsidRDefault="00F212DE" w:rsidP="00F212DE">
      <w:pPr>
        <w:pStyle w:val="Default"/>
        <w:spacing w:after="82" w:line="480" w:lineRule="exact"/>
        <w:rPr>
          <w:rFonts w:ascii="標楷體" w:eastAsia="標楷體" w:hAnsi="標楷體"/>
          <w:sz w:val="28"/>
          <w:szCs w:val="28"/>
        </w:rPr>
      </w:pPr>
      <w:r w:rsidRPr="00F212DE">
        <w:rPr>
          <w:rFonts w:ascii="標楷體" w:eastAsia="標楷體" w:hAnsi="標楷體" w:cs="Times New Roman"/>
          <w:sz w:val="28"/>
          <w:szCs w:val="28"/>
        </w:rPr>
        <w:t xml:space="preserve">2. </w:t>
      </w:r>
      <w:r w:rsidRPr="00F212DE">
        <w:rPr>
          <w:rFonts w:ascii="標楷體" w:eastAsia="標楷體" w:hAnsi="標楷體" w:hint="eastAsia"/>
          <w:sz w:val="28"/>
          <w:szCs w:val="28"/>
        </w:rPr>
        <w:t>自</w:t>
      </w:r>
      <w:r w:rsidRPr="00F212DE">
        <w:rPr>
          <w:rFonts w:ascii="標楷體" w:eastAsia="標楷體" w:hAnsi="標楷體" w:cs="Times New Roman"/>
          <w:sz w:val="28"/>
          <w:szCs w:val="28"/>
        </w:rPr>
        <w:t>106</w:t>
      </w:r>
      <w:r w:rsidRPr="00F212DE">
        <w:rPr>
          <w:rFonts w:ascii="標楷體" w:eastAsia="標楷體" w:hAnsi="標楷體" w:hint="eastAsia"/>
          <w:sz w:val="28"/>
          <w:szCs w:val="28"/>
        </w:rPr>
        <w:t>學年度起要提學位考試都需要先修習學術倫理教育課程並通過測驗，學生申請學位考試時，請於</w:t>
      </w:r>
      <w:proofErr w:type="gramStart"/>
      <w:r w:rsidRPr="00F212DE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F212DE">
        <w:rPr>
          <w:rFonts w:ascii="標楷體" w:eastAsia="標楷體" w:hAnsi="標楷體" w:hint="eastAsia"/>
          <w:sz w:val="28"/>
          <w:szCs w:val="28"/>
        </w:rPr>
        <w:t>碩士學位考試申請表備註欄</w:t>
      </w:r>
      <w:proofErr w:type="gramStart"/>
      <w:r w:rsidRPr="00F212DE">
        <w:rPr>
          <w:rFonts w:ascii="標楷體" w:eastAsia="標楷體" w:hAnsi="標楷體" w:cs="Times New Roman"/>
          <w:sz w:val="28"/>
          <w:szCs w:val="28"/>
        </w:rPr>
        <w:t>”</w:t>
      </w:r>
      <w:proofErr w:type="gramEnd"/>
      <w:r w:rsidRPr="00F212DE">
        <w:rPr>
          <w:rFonts w:ascii="標楷體" w:eastAsia="標楷體" w:hAnsi="標楷體" w:hint="eastAsia"/>
          <w:sz w:val="28"/>
          <w:szCs w:val="28"/>
        </w:rPr>
        <w:t>註明修課證明證書字號。</w:t>
      </w:r>
    </w:p>
    <w:p w:rsidR="00F212DE" w:rsidRDefault="00F212DE" w:rsidP="00F212DE">
      <w:pPr>
        <w:pStyle w:val="Default"/>
        <w:spacing w:line="480" w:lineRule="exact"/>
        <w:rPr>
          <w:rFonts w:ascii="標楷體" w:eastAsia="標楷體" w:hAnsi="標楷體"/>
          <w:sz w:val="28"/>
          <w:szCs w:val="28"/>
        </w:rPr>
      </w:pPr>
      <w:r w:rsidRPr="00F212DE">
        <w:rPr>
          <w:rFonts w:ascii="標楷體" w:eastAsia="標楷體" w:hAnsi="標楷體" w:cs="Times New Roman"/>
          <w:sz w:val="28"/>
          <w:szCs w:val="28"/>
        </w:rPr>
        <w:t xml:space="preserve">3. </w:t>
      </w:r>
      <w:r w:rsidRPr="00F212DE">
        <w:rPr>
          <w:rFonts w:ascii="標楷體" w:eastAsia="標楷體" w:hAnsi="標楷體" w:hint="eastAsia"/>
          <w:sz w:val="28"/>
          <w:szCs w:val="28"/>
        </w:rPr>
        <w:t>提交口試申請表的同時學生須一併送出</w:t>
      </w:r>
      <w:proofErr w:type="spellStart"/>
      <w:r w:rsidRPr="00F212DE">
        <w:rPr>
          <w:rFonts w:ascii="標楷體" w:eastAsia="標楷體" w:hAnsi="標楷體" w:cs="Times New Roman"/>
          <w:sz w:val="28"/>
          <w:szCs w:val="28"/>
        </w:rPr>
        <w:t>Turnitin</w:t>
      </w:r>
      <w:proofErr w:type="spellEnd"/>
      <w:r w:rsidRPr="00F212DE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212DE">
        <w:rPr>
          <w:rFonts w:ascii="標楷體" w:eastAsia="標楷體" w:hAnsi="標楷體" w:hint="eastAsia"/>
          <w:sz w:val="28"/>
          <w:szCs w:val="28"/>
        </w:rPr>
        <w:t>原創性報告論文比對結果</w:t>
      </w:r>
      <w:r>
        <w:rPr>
          <w:rFonts w:ascii="標楷體" w:eastAsia="標楷體" w:hAnsi="標楷體" w:hint="eastAsia"/>
          <w:sz w:val="28"/>
          <w:szCs w:val="28"/>
        </w:rPr>
        <w:t>(結果需&lt;25%)</w:t>
      </w:r>
    </w:p>
    <w:p w:rsidR="00F212DE" w:rsidRPr="00F212DE" w:rsidRDefault="00F212DE" w:rsidP="00F212DE">
      <w:pPr>
        <w:pStyle w:val="Default"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F212DE">
        <w:rPr>
          <w:rFonts w:ascii="標楷體" w:eastAsia="標楷體" w:hAnsi="標楷體" w:cs="Times New Roman"/>
          <w:sz w:val="28"/>
          <w:szCs w:val="28"/>
        </w:rPr>
        <w:t>(</w:t>
      </w:r>
      <w:r w:rsidRPr="00F212DE">
        <w:rPr>
          <w:rFonts w:ascii="標楷體" w:eastAsia="標楷體" w:hAnsi="標楷體" w:cs="Times New Roman"/>
          <w:color w:val="0000FF"/>
          <w:sz w:val="28"/>
          <w:szCs w:val="28"/>
        </w:rPr>
        <w:t>http://web.lib.fju.edu.tw/chi/database/essaytool</w:t>
      </w:r>
      <w:r w:rsidRPr="00F212DE">
        <w:rPr>
          <w:rFonts w:ascii="標楷體" w:eastAsia="標楷體" w:hAnsi="標楷體" w:cs="Times New Roman"/>
          <w:sz w:val="28"/>
          <w:szCs w:val="28"/>
        </w:rPr>
        <w:t xml:space="preserve">) </w:t>
      </w:r>
    </w:p>
    <w:p w:rsidR="00F212DE" w:rsidRPr="00F212DE" w:rsidRDefault="00F212DE" w:rsidP="00F212DE">
      <w:pPr>
        <w:pStyle w:val="Default"/>
        <w:spacing w:line="480" w:lineRule="exact"/>
        <w:rPr>
          <w:rFonts w:ascii="標楷體" w:eastAsia="標楷體" w:hAnsi="標楷體" w:cs="Times New Roman"/>
          <w:sz w:val="28"/>
          <w:szCs w:val="28"/>
        </w:rPr>
      </w:pPr>
    </w:p>
    <w:p w:rsidR="00F212DE" w:rsidRPr="00F212DE" w:rsidRDefault="00F212DE" w:rsidP="00F212DE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F212DE">
        <w:rPr>
          <w:rFonts w:ascii="標楷體" w:eastAsia="標楷體" w:hAnsi="標楷體" w:hint="eastAsia"/>
          <w:b/>
          <w:sz w:val="28"/>
          <w:szCs w:val="28"/>
        </w:rPr>
        <w:t>審合學位論文與專業領域相符有疑義之處理辦法</w:t>
      </w:r>
    </w:p>
    <w:p w:rsidR="00F212DE" w:rsidRPr="00F212DE" w:rsidRDefault="00F212DE" w:rsidP="00F212DE">
      <w:pPr>
        <w:pStyle w:val="Default"/>
        <w:spacing w:after="82" w:line="480" w:lineRule="exact"/>
        <w:rPr>
          <w:rFonts w:ascii="標楷體" w:eastAsia="標楷體" w:hAnsi="標楷體" w:cs="Times New Roman"/>
          <w:sz w:val="28"/>
          <w:szCs w:val="28"/>
        </w:rPr>
      </w:pPr>
      <w:r w:rsidRPr="00F212DE">
        <w:rPr>
          <w:rFonts w:ascii="標楷體" w:eastAsia="標楷體" w:hAnsi="標楷體" w:cs="Times New Roman"/>
          <w:sz w:val="28"/>
          <w:szCs w:val="28"/>
        </w:rPr>
        <w:t xml:space="preserve">1. </w:t>
      </w:r>
      <w:r w:rsidRPr="00F212DE">
        <w:rPr>
          <w:rFonts w:ascii="標楷體" w:eastAsia="標楷體" w:hAnsi="標楷體" w:cs="Times New Roman" w:hint="eastAsia"/>
          <w:sz w:val="28"/>
          <w:szCs w:val="28"/>
        </w:rPr>
        <w:t>系</w:t>
      </w:r>
      <w:proofErr w:type="gramStart"/>
      <w:r w:rsidRPr="00F212DE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F212DE">
        <w:rPr>
          <w:rFonts w:ascii="標楷體" w:eastAsia="標楷體" w:hAnsi="標楷體" w:cs="Times New Roman" w:hint="eastAsia"/>
          <w:sz w:val="28"/>
          <w:szCs w:val="28"/>
        </w:rPr>
        <w:t>會議審核不符合之指導教授，</w:t>
      </w:r>
      <w:proofErr w:type="gramStart"/>
      <w:r w:rsidRPr="00F212DE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F212DE">
        <w:rPr>
          <w:rFonts w:ascii="標楷體" w:eastAsia="標楷體" w:hAnsi="標楷體" w:cs="Times New Roman" w:hint="eastAsia"/>
          <w:sz w:val="28"/>
          <w:szCs w:val="28"/>
        </w:rPr>
        <w:t>年內不可收取及指導新的研究生，亦不可以共同指導名義收研究生。</w:t>
      </w:r>
    </w:p>
    <w:p w:rsidR="00F212DE" w:rsidRPr="00F212DE" w:rsidRDefault="00F212DE" w:rsidP="00F212DE">
      <w:pPr>
        <w:pStyle w:val="Default"/>
        <w:spacing w:after="82" w:line="480" w:lineRule="exact"/>
        <w:rPr>
          <w:rFonts w:ascii="標楷體" w:eastAsia="標楷體" w:hAnsi="標楷體" w:cs="Times New Roman"/>
          <w:sz w:val="28"/>
          <w:szCs w:val="28"/>
        </w:rPr>
      </w:pPr>
      <w:r w:rsidRPr="00F212DE">
        <w:rPr>
          <w:rFonts w:ascii="標楷體" w:eastAsia="標楷體" w:hAnsi="標楷體" w:cs="Times New Roman"/>
          <w:sz w:val="28"/>
          <w:szCs w:val="28"/>
        </w:rPr>
        <w:t xml:space="preserve">2. </w:t>
      </w:r>
      <w:r w:rsidRPr="00F212DE">
        <w:rPr>
          <w:rFonts w:ascii="標楷體" w:eastAsia="標楷體" w:hAnsi="標楷體" w:cs="Times New Roman" w:hint="eastAsia"/>
          <w:sz w:val="28"/>
          <w:szCs w:val="28"/>
        </w:rPr>
        <w:t>若是已發佈之論文有疑義之指導教授，提交院校之學術倫理委員會辦理之。</w:t>
      </w:r>
    </w:p>
    <w:p w:rsidR="00F212DE" w:rsidRPr="00F212DE" w:rsidRDefault="00F212DE" w:rsidP="00F212DE">
      <w:pPr>
        <w:pStyle w:val="Default"/>
        <w:rPr>
          <w:rFonts w:ascii="標楷體" w:eastAsia="標楷體" w:hAnsi="標楷體"/>
          <w:sz w:val="28"/>
          <w:szCs w:val="28"/>
        </w:rPr>
      </w:pPr>
    </w:p>
    <w:p w:rsidR="00F212DE" w:rsidRPr="00F212DE" w:rsidRDefault="00F212DE" w:rsidP="00F212DE">
      <w:pPr>
        <w:pStyle w:val="Default"/>
        <w:rPr>
          <w:rFonts w:ascii="標楷體" w:eastAsia="標楷體" w:hAnsi="標楷體"/>
          <w:b/>
          <w:sz w:val="28"/>
          <w:szCs w:val="28"/>
        </w:rPr>
      </w:pPr>
      <w:r w:rsidRPr="00F212DE">
        <w:rPr>
          <w:rFonts w:ascii="標楷體" w:eastAsia="標楷體" w:hAnsi="標楷體" w:hint="eastAsia"/>
          <w:b/>
          <w:sz w:val="28"/>
          <w:szCs w:val="28"/>
        </w:rPr>
        <w:t>國家圖書館學位論文延後公開或不公開審核機制</w:t>
      </w:r>
    </w:p>
    <w:p w:rsidR="00374F19" w:rsidRPr="00F212DE" w:rsidRDefault="00F212DE" w:rsidP="00F212DE">
      <w:pPr>
        <w:pStyle w:val="Default"/>
        <w:spacing w:after="82" w:line="480" w:lineRule="exact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F212DE">
        <w:rPr>
          <w:rFonts w:ascii="標楷體" w:eastAsia="標楷體" w:hAnsi="標楷體" w:cs="Times New Roman" w:hint="eastAsia"/>
          <w:sz w:val="28"/>
          <w:szCs w:val="28"/>
        </w:rPr>
        <w:t>若學</w:t>
      </w:r>
      <w:proofErr w:type="gramEnd"/>
      <w:r w:rsidRPr="00F212DE">
        <w:rPr>
          <w:rFonts w:ascii="標楷體" w:eastAsia="標楷體" w:hAnsi="標楷體" w:cs="Times New Roman" w:hint="eastAsia"/>
          <w:sz w:val="28"/>
          <w:szCs w:val="28"/>
        </w:rPr>
        <w:t>位論文需延後公開或不公開時請提交「生命科學系論文繳交暫不公開聲明書」，詳實寫出不公開原因，並請指導教授及系主任簽核。</w:t>
      </w:r>
    </w:p>
    <w:sectPr w:rsidR="00374F19" w:rsidRPr="00F212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T.棝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DE"/>
    <w:rsid w:val="002E289F"/>
    <w:rsid w:val="00374F19"/>
    <w:rsid w:val="00A7346A"/>
    <w:rsid w:val="00B21E7C"/>
    <w:rsid w:val="00F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C99EC-4A7A-4838-B2F8-A9CC5753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2DE"/>
    <w:pPr>
      <w:widowControl w:val="0"/>
      <w:autoSpaceDE w:val="0"/>
      <w:autoSpaceDN w:val="0"/>
      <w:adjustRightInd w:val="0"/>
    </w:pPr>
    <w:rPr>
      <w:rFonts w:ascii="標楷體T.棝.." w:eastAsia="標楷體T.棝.." w:cs="標楷體T.棝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2021-05-27T02:07:00Z</dcterms:created>
  <dcterms:modified xsi:type="dcterms:W3CDTF">2021-05-27T02:11:00Z</dcterms:modified>
</cp:coreProperties>
</file>