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F" w:rsidRPr="00D97EEF" w:rsidRDefault="00D97EEF" w:rsidP="00D97EEF">
      <w:pPr>
        <w:spacing w:beforeLines="50" w:before="180" w:afterLines="50" w:after="180" w:line="320" w:lineRule="exact"/>
        <w:jc w:val="center"/>
        <w:rPr>
          <w:rFonts w:eastAsia="標楷體"/>
          <w:szCs w:val="32"/>
        </w:rPr>
      </w:pPr>
      <w:r w:rsidRPr="00D97EEF">
        <w:rPr>
          <w:rFonts w:eastAsia="標楷體" w:hint="eastAsia"/>
          <w:szCs w:val="32"/>
        </w:rPr>
        <w:t>輔仁大學建築物空間管理辦法</w:t>
      </w:r>
    </w:p>
    <w:p w:rsidR="00D97EEF" w:rsidRPr="00D97EEF" w:rsidRDefault="00D97EEF" w:rsidP="00D97EEF">
      <w:pPr>
        <w:spacing w:afterLines="50" w:after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第一條　為有效管理本校之建築物空間，特訂定本辦法。</w:t>
      </w:r>
    </w:p>
    <w:p w:rsidR="00D97EEF" w:rsidRPr="00D97EEF" w:rsidRDefault="00D97EEF" w:rsidP="00D97EEF">
      <w:pPr>
        <w:spacing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第二條　本校建築物空間之整體規劃、使用分配、變更調整及管理規定，經應本校建築物空間管理委員會（以下簡稱管委會）審議通過。</w:t>
      </w:r>
    </w:p>
    <w:p w:rsidR="00D97EEF" w:rsidRPr="00D97EEF" w:rsidRDefault="00D97EEF" w:rsidP="00D97EEF">
      <w:pPr>
        <w:spacing w:line="400" w:lineRule="exact"/>
        <w:ind w:leftChars="300" w:left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管委會由校長、副校長</w:t>
      </w:r>
      <w:r w:rsidR="0036442E" w:rsidRPr="00F656A3">
        <w:rPr>
          <w:rFonts w:eastAsia="標楷體" w:hint="eastAsia"/>
          <w:sz w:val="24"/>
        </w:rPr>
        <w:t>、主</w:t>
      </w:r>
      <w:bookmarkStart w:id="0" w:name="_GoBack"/>
      <w:bookmarkEnd w:id="0"/>
      <w:r w:rsidR="0036442E" w:rsidRPr="00F656A3">
        <w:rPr>
          <w:rFonts w:eastAsia="標楷體" w:hint="eastAsia"/>
          <w:sz w:val="24"/>
        </w:rPr>
        <w:t>任秘書</w:t>
      </w:r>
      <w:r w:rsidRPr="00D97EEF">
        <w:rPr>
          <w:rFonts w:eastAsia="標楷體" w:hint="eastAsia"/>
          <w:sz w:val="24"/>
        </w:rPr>
        <w:t>、教務長、學務長、總務長、研發長、國際教育長</w:t>
      </w:r>
      <w:r w:rsidRPr="00D97EEF">
        <w:rPr>
          <w:rFonts w:ascii="新細明體" w:hAnsi="新細明體" w:hint="eastAsia"/>
          <w:sz w:val="24"/>
        </w:rPr>
        <w:t>、</w:t>
      </w:r>
      <w:r w:rsidRPr="00D97EEF">
        <w:rPr>
          <w:rFonts w:eastAsia="標楷體" w:hint="eastAsia"/>
          <w:sz w:val="24"/>
        </w:rPr>
        <w:t>全人中心主任</w:t>
      </w:r>
      <w:r w:rsidRPr="00D97EEF">
        <w:rPr>
          <w:rFonts w:ascii="新細明體" w:hAnsi="新細明體" w:hint="eastAsia"/>
          <w:sz w:val="24"/>
        </w:rPr>
        <w:t>、</w:t>
      </w:r>
      <w:r w:rsidRPr="00D97EEF">
        <w:rPr>
          <w:rFonts w:eastAsia="標楷體" w:hint="eastAsia"/>
          <w:sz w:val="24"/>
        </w:rPr>
        <w:t>各院院長組成；由校長任召集人，行政副校長任副召集人。管委會會議得視需要隨時召開。</w:t>
      </w:r>
    </w:p>
    <w:p w:rsidR="00D97EEF" w:rsidRPr="00D97EEF" w:rsidRDefault="00D97EEF" w:rsidP="00D97EEF">
      <w:pPr>
        <w:spacing w:beforeLines="50" w:before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第三條　本校建築物空間（含室內及室外通道、牆面）除依本辦法規定或經管委會決議分配特定單位管理者外，均由總務處負責管理。</w:t>
      </w:r>
    </w:p>
    <w:p w:rsidR="00D97EEF" w:rsidRPr="00D97EEF" w:rsidRDefault="00D97EEF" w:rsidP="00D97EEF">
      <w:pPr>
        <w:spacing w:line="400" w:lineRule="exact"/>
        <w:ind w:leftChars="300" w:left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為明確使用及管理權責，總務處應就本校建築物空間使用現狀會同相關單位確定盤點，製作「輔仁大學建築物空間使用管理現狀表」，並提交管委會審議通過。</w:t>
      </w:r>
    </w:p>
    <w:p w:rsidR="00D97EEF" w:rsidRPr="00D97EEF" w:rsidRDefault="00D97EEF" w:rsidP="00D97EEF">
      <w:pPr>
        <w:spacing w:line="400" w:lineRule="exact"/>
        <w:ind w:leftChars="300" w:left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本校建築物空間管理分配經管委會審議通過進行變更調整時，總務處應即時修正「輔仁大學建築物空間使用管理分配表」。</w:t>
      </w:r>
    </w:p>
    <w:p w:rsidR="00D97EEF" w:rsidRPr="00D97EEF" w:rsidRDefault="00D97EEF" w:rsidP="00D97EEF">
      <w:pPr>
        <w:spacing w:beforeLines="50" w:before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第四條　本校建築物室內空間使用，分以下列類型為主，設置及管理維護費用由單位自行編列：</w:t>
      </w:r>
      <w:r w:rsidRPr="00D97EEF" w:rsidDel="004B43EB">
        <w:rPr>
          <w:rFonts w:eastAsia="標楷體" w:hint="eastAsia"/>
          <w:sz w:val="24"/>
        </w:rPr>
        <w:t xml:space="preserve"> </w:t>
      </w:r>
    </w:p>
    <w:p w:rsidR="00D97EEF" w:rsidRPr="00D97EEF" w:rsidRDefault="00D97EEF" w:rsidP="00D97EEF">
      <w:pPr>
        <w:spacing w:line="400" w:lineRule="exact"/>
        <w:ind w:leftChars="300" w:left="2880" w:hangingChars="800" w:hanging="192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一、行政辦公室：由各權責單位設置管理。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二、教師研究室：由教學單位設置，僅供專任教師及專案教師於聘期內使用，並由教學單位以自行現有空間勻挪，其共通之管理辦法由本校另定之。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三、教師休息室：由總務處設置管理，供教師授課前後暫時休息之用。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四、研討室、學生研究室、院系學生自治組織辦公室：由教學單位設置管理。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五、圖書室、圖書閱覽室：由圖書館設置管理。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六、校級學生自治組織辦公室、學生社團辦公室及學生活動場所：由學務處設置管理。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七、教室：一般教室由總務處設置、教務處管理；特殊教室由權責單位設置管理，惟應開放全校使用。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八、實驗室：由教學單位設置管理，僅供教學及研究使用，其共通之管理辦法由本校另定之。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九、會議室：由總務處設置管理。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lastRenderedPageBreak/>
        <w:t>十、體健室：由體育室設置管理。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十一、宿舍：由總務處設置、宿舍服務中心管理。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十二、實習場所：由教學單位設置管理。</w:t>
      </w:r>
    </w:p>
    <w:p w:rsidR="00D97EEF" w:rsidRPr="00D97EEF" w:rsidRDefault="00D97EEF" w:rsidP="00D97EEF">
      <w:pPr>
        <w:spacing w:line="400" w:lineRule="exact"/>
        <w:ind w:leftChars="300" w:left="1680" w:hangingChars="300" w:hanging="72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十三、產學合作及飲食、醫療等服務教職員工生之相關事業使用空間：由權責單位依規定設置管理。</w:t>
      </w:r>
    </w:p>
    <w:p w:rsidR="00D97EEF" w:rsidRPr="00D97EEF" w:rsidRDefault="00D97EEF" w:rsidP="00D97EEF">
      <w:pPr>
        <w:spacing w:line="400" w:lineRule="exact"/>
        <w:ind w:leftChars="270" w:left="864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前項第二款至第十二款空間，管理單位應訂定使用管理辦法，送交管委會審議</w:t>
      </w:r>
      <w:r w:rsidRPr="00D97EEF">
        <w:rPr>
          <w:rFonts w:ascii="新細明體" w:hAnsi="新細明體" w:hint="eastAsia"/>
          <w:sz w:val="24"/>
        </w:rPr>
        <w:t>。</w:t>
      </w:r>
    </w:p>
    <w:p w:rsidR="00D97EEF" w:rsidRPr="00D97EEF" w:rsidRDefault="00D97EEF" w:rsidP="00D97EEF">
      <w:pPr>
        <w:spacing w:line="400" w:lineRule="exact"/>
        <w:ind w:leftChars="270" w:left="864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第一項第七款至第十三款空間</w:t>
      </w:r>
      <w:r w:rsidRPr="00D97EEF">
        <w:rPr>
          <w:rFonts w:ascii="新細明體" w:hAnsi="新細明體" w:hint="eastAsia"/>
          <w:sz w:val="24"/>
        </w:rPr>
        <w:t>，</w:t>
      </w:r>
      <w:r w:rsidRPr="00D97EEF">
        <w:rPr>
          <w:rFonts w:eastAsia="標楷體" w:hint="eastAsia"/>
          <w:sz w:val="24"/>
        </w:rPr>
        <w:t>如有收費必要者，管理單位應明定收費標準，提交行政會議審議。</w:t>
      </w:r>
    </w:p>
    <w:p w:rsidR="00D97EEF" w:rsidRPr="00D97EEF" w:rsidRDefault="00D97EEF" w:rsidP="00D97EEF">
      <w:pPr>
        <w:spacing w:line="400" w:lineRule="exact"/>
        <w:ind w:leftChars="270" w:left="864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第一項第十一、十三款空間，如有委外經營或出租、出借使用者，總務處應依市場機制，訂定並收取合理費用，其辦法另定之。</w:t>
      </w:r>
    </w:p>
    <w:p w:rsidR="00D97EEF" w:rsidRPr="00D97EEF" w:rsidRDefault="00D97EEF" w:rsidP="00D97EEF">
      <w:pPr>
        <w:spacing w:beforeLines="50" w:before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第五條　本校建築物空間，各單位應遵守下列規定：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一、未經管委會審議分配空間，不得占用；違反者，由總務處查明後清除占用物品或排除占用，所需費用由該單位負擔。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二、經管委會審議分配管理之空間，其用途應依前條第一項之規定辦理，不得私行轉讓或交換；其場地及設備之維護由管理單位依校內程序提出申請，並自行編列預算辦理。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三、管理單位應確實預防公共危險，嚴格管理用電及危險物品。</w:t>
      </w:r>
    </w:p>
    <w:p w:rsidR="00D97EEF" w:rsidRPr="00D97EEF" w:rsidRDefault="00D97EEF" w:rsidP="00D97EEF">
      <w:pPr>
        <w:spacing w:line="400" w:lineRule="exact"/>
        <w:ind w:leftChars="300" w:left="1440" w:hangingChars="200" w:hanging="48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四、管理單位在管理制度上應落實人身安全之保障，並注意財產安全之維護，避免發生侵害。</w:t>
      </w:r>
    </w:p>
    <w:p w:rsidR="00D97EEF" w:rsidRPr="00D97EEF" w:rsidRDefault="00D97EEF" w:rsidP="00D97EEF">
      <w:pPr>
        <w:spacing w:line="400" w:lineRule="exact"/>
        <w:ind w:leftChars="270" w:left="864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單位違反前項規定，除按其具體情事依規定懲處失職人員外，如情節嚴重者，得經管委會決議，收回相關空間。</w:t>
      </w:r>
    </w:p>
    <w:p w:rsidR="00D97EEF" w:rsidRPr="00D97EEF" w:rsidRDefault="00D97EEF" w:rsidP="00D97EEF">
      <w:pPr>
        <w:spacing w:beforeLines="50" w:before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第六條　本校建築物之公共空間，不得任意張貼、佈置物品或占用。海報或宣傳品應於佈告欄張貼；節慶或重要活動之裝飾，應向管理單位申請許可後，始得佈置。違反者，管理單位得除去其張貼、佈置物品或排除占用，所需費用由行為人負擔。</w:t>
      </w:r>
    </w:p>
    <w:p w:rsidR="00D97EEF" w:rsidRPr="00D97EEF" w:rsidRDefault="00D97EEF" w:rsidP="00D97EEF">
      <w:pPr>
        <w:spacing w:beforeLines="50" w:before="180" w:line="400" w:lineRule="exact"/>
        <w:ind w:left="960" w:hangingChars="400" w:hanging="960"/>
        <w:rPr>
          <w:rFonts w:eastAsia="標楷體"/>
          <w:sz w:val="24"/>
        </w:rPr>
      </w:pPr>
      <w:r w:rsidRPr="00D97EEF">
        <w:rPr>
          <w:rFonts w:eastAsia="標楷體" w:hint="eastAsia"/>
          <w:sz w:val="24"/>
        </w:rPr>
        <w:t>第七條　本辦法經行政會議通過，報請校長核定後公布施行。修正時亦同。</w:t>
      </w:r>
    </w:p>
    <w:p w:rsidR="00D97EEF" w:rsidRPr="00D97EEF" w:rsidRDefault="00D97EEF" w:rsidP="00D97EEF">
      <w:pPr>
        <w:spacing w:beforeLines="50" w:before="180" w:afterLines="50" w:after="180" w:line="320" w:lineRule="exact"/>
        <w:rPr>
          <w:rFonts w:eastAsia="標楷體"/>
          <w:sz w:val="24"/>
        </w:rPr>
      </w:pPr>
    </w:p>
    <w:p w:rsidR="00D97EEF" w:rsidRPr="00D97EEF" w:rsidRDefault="00D97EEF">
      <w:pPr>
        <w:rPr>
          <w:rFonts w:eastAsia="標楷體"/>
          <w:color w:val="000000"/>
          <w:sz w:val="24"/>
        </w:rPr>
      </w:pPr>
    </w:p>
    <w:sectPr w:rsidR="00D97EEF" w:rsidRPr="00D97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21" w:rsidRDefault="009C5F21" w:rsidP="0036442E">
      <w:r>
        <w:separator/>
      </w:r>
    </w:p>
  </w:endnote>
  <w:endnote w:type="continuationSeparator" w:id="0">
    <w:p w:rsidR="009C5F21" w:rsidRDefault="009C5F21" w:rsidP="003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21" w:rsidRDefault="009C5F21" w:rsidP="0036442E">
      <w:r>
        <w:separator/>
      </w:r>
    </w:p>
  </w:footnote>
  <w:footnote w:type="continuationSeparator" w:id="0">
    <w:p w:rsidR="009C5F21" w:rsidRDefault="009C5F21" w:rsidP="003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7332"/>
    <w:multiLevelType w:val="hybridMultilevel"/>
    <w:tmpl w:val="65D8988C"/>
    <w:lvl w:ilvl="0" w:tplc="0CB61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4532653F"/>
    <w:multiLevelType w:val="hybridMultilevel"/>
    <w:tmpl w:val="FDDA2CD6"/>
    <w:lvl w:ilvl="0" w:tplc="9CE446F4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AF26BC"/>
    <w:multiLevelType w:val="hybridMultilevel"/>
    <w:tmpl w:val="55DA1C82"/>
    <w:lvl w:ilvl="0" w:tplc="23CEEF2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DE"/>
    <w:rsid w:val="00296179"/>
    <w:rsid w:val="0036442E"/>
    <w:rsid w:val="00612CC1"/>
    <w:rsid w:val="008903F4"/>
    <w:rsid w:val="009C5F21"/>
    <w:rsid w:val="00A95A1C"/>
    <w:rsid w:val="00D97EEF"/>
    <w:rsid w:val="00E4701C"/>
    <w:rsid w:val="00F656A3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5B493-71E0-4BB0-8A86-DF213A10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DE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E45D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E45DE"/>
    <w:rPr>
      <w:sz w:val="24"/>
    </w:rPr>
  </w:style>
  <w:style w:type="character" w:customStyle="1" w:styleId="a5">
    <w:name w:val="註解文字 字元"/>
    <w:basedOn w:val="a0"/>
    <w:link w:val="a4"/>
    <w:uiPriority w:val="99"/>
    <w:semiHidden/>
    <w:rsid w:val="00FE45DE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45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E45DE"/>
    <w:rPr>
      <w:b/>
      <w:bCs/>
      <w:sz w:val="32"/>
    </w:rPr>
  </w:style>
  <w:style w:type="character" w:customStyle="1" w:styleId="a9">
    <w:name w:val="註解主旨 字元"/>
    <w:basedOn w:val="a5"/>
    <w:link w:val="a8"/>
    <w:uiPriority w:val="99"/>
    <w:semiHidden/>
    <w:rsid w:val="00FE45DE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36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442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44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824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77425016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9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Tien</cp:lastModifiedBy>
  <cp:revision>2</cp:revision>
  <dcterms:created xsi:type="dcterms:W3CDTF">2017-08-02T12:18:00Z</dcterms:created>
  <dcterms:modified xsi:type="dcterms:W3CDTF">2017-08-02T12:18:00Z</dcterms:modified>
</cp:coreProperties>
</file>